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3D3" w:rsidRPr="003123D3" w:rsidRDefault="003123D3" w:rsidP="00147B56">
      <w:pPr>
        <w:pageBreakBefore/>
        <w:ind w:left="-720" w:right="90" w:firstLine="720"/>
        <w:jc w:val="center"/>
        <w:rPr>
          <w:rFonts w:cstheme="minorHAnsi"/>
          <w:b/>
          <w:sz w:val="36"/>
          <w:szCs w:val="36"/>
        </w:rPr>
      </w:pPr>
      <w:r>
        <w:rPr>
          <w:rFonts w:cstheme="minorHAnsi"/>
          <w:b/>
          <w:sz w:val="28"/>
          <w:szCs w:val="28"/>
        </w:rPr>
        <w:t>Memorandum of Understanding b</w:t>
      </w:r>
      <w:r w:rsidRPr="003123D3">
        <w:rPr>
          <w:rFonts w:cstheme="minorHAnsi"/>
          <w:b/>
          <w:sz w:val="28"/>
          <w:szCs w:val="28"/>
        </w:rPr>
        <w:t>etween University</w:t>
      </w:r>
      <w:r>
        <w:rPr>
          <w:rFonts w:cstheme="minorHAnsi"/>
          <w:b/>
          <w:sz w:val="28"/>
          <w:szCs w:val="28"/>
        </w:rPr>
        <w:t xml:space="preserve"> </w:t>
      </w:r>
      <w:r w:rsidR="00147B56">
        <w:rPr>
          <w:rFonts w:cstheme="minorHAnsi"/>
          <w:b/>
          <w:sz w:val="28"/>
          <w:szCs w:val="28"/>
        </w:rPr>
        <w:t>Partners</w:t>
      </w:r>
      <w:r w:rsidRPr="003123D3">
        <w:rPr>
          <w:rFonts w:cstheme="minorHAnsi"/>
          <w:b/>
          <w:sz w:val="28"/>
          <w:szCs w:val="28"/>
        </w:rPr>
        <w:t xml:space="preserve"> of the Center for Tire Research (CENTIRE) </w:t>
      </w:r>
    </w:p>
    <w:p w:rsidR="00A92709" w:rsidRDefault="00A92709" w:rsidP="00FB3E25">
      <w:r>
        <w:t xml:space="preserve">This Memorandum of Understanding (“MOU”) is made this day of ____________ by and between </w:t>
      </w:r>
      <w:r w:rsidRPr="00BD5964">
        <w:t>Virginia Polytechnic Institute and State University</w:t>
      </w:r>
      <w:r>
        <w:t xml:space="preserve"> (hereinafter called</w:t>
      </w:r>
      <w:r w:rsidR="00BD5964">
        <w:t xml:space="preserve"> “VT” or</w:t>
      </w:r>
      <w:r>
        <w:t xml:space="preserve"> "V</w:t>
      </w:r>
      <w:r w:rsidR="00BD5964">
        <w:t xml:space="preserve">irginia </w:t>
      </w:r>
      <w:r>
        <w:t>T</w:t>
      </w:r>
      <w:r w:rsidR="00BD5964">
        <w:t>ech</w:t>
      </w:r>
      <w:r>
        <w:t>") and the University of Akron (hereinafter called "UA"</w:t>
      </w:r>
      <w:r w:rsidR="00BC025F">
        <w:t>;  VT and UA hereinafter called “</w:t>
      </w:r>
      <w:r w:rsidR="00FB3E25">
        <w:t>INSTITUTIONS</w:t>
      </w:r>
      <w:r w:rsidR="00BC025F">
        <w:t>”</w:t>
      </w:r>
      <w:r>
        <w:t xml:space="preserve">) for the purposes of participating in the Center for Tire Research (“CENTIRE”) which is defined as all </w:t>
      </w:r>
      <w:r w:rsidR="00FB3E25">
        <w:t>CENTIRE</w:t>
      </w:r>
      <w:r>
        <w:t xml:space="preserve"> Research Sites funded by the Industry/University Cooperative Research Center Program of the National Science Foundation.</w:t>
      </w:r>
    </w:p>
    <w:p w:rsidR="00BF2D74" w:rsidRDefault="00BF2D74" w:rsidP="00FB3E25">
      <w:r>
        <w:t xml:space="preserve">It is understood that (i) </w:t>
      </w:r>
      <w:r w:rsidR="00BC025F">
        <w:t>UA</w:t>
      </w:r>
      <w:r>
        <w:t xml:space="preserve"> is a partner of this multi-site research center, (ii) membership fees will be collected by VT  just to streamline the process, (iii) </w:t>
      </w:r>
      <w:r w:rsidR="00BC025F">
        <w:t xml:space="preserve">the </w:t>
      </w:r>
      <w:r>
        <w:t>Industrial Advisory Board of the C</w:t>
      </w:r>
      <w:r w:rsidR="00990B9E">
        <w:t>ENTIRE</w:t>
      </w:r>
      <w:r>
        <w:t xml:space="preserve">, working with faculty from </w:t>
      </w:r>
      <w:r w:rsidR="00BC025F">
        <w:t xml:space="preserve">the </w:t>
      </w:r>
      <w:r w:rsidR="00FB3E25">
        <w:t>INSTITUTIONS</w:t>
      </w:r>
      <w:r>
        <w:t xml:space="preserve"> and NSF will make the determination of which projects will be funded in the current fiscal year, (iv) the funds will be distributed according to chosen projects, that is, the funds for UA projects will be transferred to UA from VT in the form most suitable to avoid any additional administrative costs imposed by UA, and (v) the maximum funds allocated to each project cannot exceed $35,000 per year. </w:t>
      </w:r>
    </w:p>
    <w:p w:rsidR="003123D3" w:rsidRPr="003123D3" w:rsidRDefault="003123D3" w:rsidP="00147B56">
      <w:pPr>
        <w:rPr>
          <w:rFonts w:cstheme="minorHAnsi"/>
        </w:rPr>
      </w:pPr>
      <w:r w:rsidRPr="003123D3">
        <w:rPr>
          <w:rFonts w:cstheme="minorHAnsi"/>
        </w:rPr>
        <w:t>Technology transfer is viewed as one of the benefits of membership in the C</w:t>
      </w:r>
      <w:r w:rsidR="00990B9E">
        <w:rPr>
          <w:rFonts w:cstheme="minorHAnsi"/>
        </w:rPr>
        <w:t>ENTIRE</w:t>
      </w:r>
      <w:r w:rsidRPr="003123D3">
        <w:rPr>
          <w:rFonts w:cstheme="minorHAnsi"/>
        </w:rPr>
        <w:t>. Since th</w:t>
      </w:r>
      <w:r w:rsidR="00990B9E">
        <w:rPr>
          <w:rFonts w:cstheme="minorHAnsi"/>
        </w:rPr>
        <w:t>e CENTIRE</w:t>
      </w:r>
      <w:r w:rsidRPr="003123D3">
        <w:rPr>
          <w:rFonts w:cstheme="minorHAnsi"/>
        </w:rPr>
        <w:t xml:space="preserve"> is a consortium of several universities aided by industrial sponsors, this memorandum of understanding is aimed at defining the basic agreement for handling the ownership and administration of intellectual property derived from </w:t>
      </w:r>
      <w:r w:rsidR="00147B56">
        <w:rPr>
          <w:rFonts w:cstheme="minorHAnsi"/>
        </w:rPr>
        <w:t>CENTIRE</w:t>
      </w:r>
      <w:r w:rsidR="00147B56" w:rsidRPr="003123D3">
        <w:rPr>
          <w:rFonts w:cstheme="minorHAnsi"/>
        </w:rPr>
        <w:t xml:space="preserve"> </w:t>
      </w:r>
      <w:r w:rsidRPr="003123D3">
        <w:rPr>
          <w:rFonts w:cstheme="minorHAnsi"/>
        </w:rPr>
        <w:t>research activities, as described below.</w:t>
      </w:r>
    </w:p>
    <w:p w:rsidR="003123D3" w:rsidRPr="003123D3" w:rsidRDefault="003123D3" w:rsidP="00FB3E25">
      <w:pPr>
        <w:rPr>
          <w:rFonts w:cstheme="minorHAnsi"/>
        </w:rPr>
      </w:pPr>
      <w:r w:rsidRPr="003123D3">
        <w:rPr>
          <w:rFonts w:cstheme="minorHAnsi"/>
        </w:rPr>
        <w:tab/>
      </w:r>
      <w:r w:rsidRPr="003123D3">
        <w:rPr>
          <w:rFonts w:cstheme="minorHAnsi"/>
          <w:u w:val="single"/>
        </w:rPr>
        <w:t>Ownership</w:t>
      </w:r>
      <w:r w:rsidRPr="003123D3">
        <w:rPr>
          <w:rFonts w:cstheme="minorHAnsi"/>
        </w:rPr>
        <w:t>. Where all the inventors/creators are employees o</w:t>
      </w:r>
      <w:bookmarkStart w:id="0" w:name="_GoBack"/>
      <w:bookmarkEnd w:id="0"/>
      <w:r w:rsidRPr="003123D3">
        <w:rPr>
          <w:rFonts w:cstheme="minorHAnsi"/>
        </w:rPr>
        <w:t xml:space="preserve">f one </w:t>
      </w:r>
      <w:r w:rsidR="00FB3E25">
        <w:rPr>
          <w:rFonts w:cstheme="minorHAnsi"/>
        </w:rPr>
        <w:t>Institution</w:t>
      </w:r>
      <w:r w:rsidRPr="003123D3">
        <w:rPr>
          <w:rFonts w:cstheme="minorHAnsi"/>
        </w:rPr>
        <w:t xml:space="preserve">, ownership of intellectual property, regardless of form, shall be in that </w:t>
      </w:r>
      <w:r w:rsidR="00FB3E25">
        <w:t>INSTITUTION</w:t>
      </w:r>
      <w:r w:rsidRPr="003123D3">
        <w:rPr>
          <w:rFonts w:cstheme="minorHAnsi"/>
        </w:rPr>
        <w:t xml:space="preserve">. Where the inventors/creators are employees of more than one </w:t>
      </w:r>
      <w:r w:rsidR="00FB3E25">
        <w:rPr>
          <w:rFonts w:cstheme="minorHAnsi"/>
        </w:rPr>
        <w:t>INSTITUTION</w:t>
      </w:r>
      <w:r w:rsidRPr="003123D3">
        <w:rPr>
          <w:rFonts w:cstheme="minorHAnsi"/>
        </w:rPr>
        <w:t xml:space="preserve">, ownership shall be jointly held by those </w:t>
      </w:r>
      <w:r w:rsidR="00FB3E25">
        <w:t>INSTITUTIONS</w:t>
      </w:r>
      <w:r w:rsidRPr="003123D3">
        <w:rPr>
          <w:rFonts w:cstheme="minorHAnsi"/>
        </w:rPr>
        <w:t xml:space="preserve">. Ownership is subject to license rights provided to other </w:t>
      </w:r>
      <w:r w:rsidR="00FB3E25">
        <w:t>INSTITUTIONS</w:t>
      </w:r>
      <w:r w:rsidRPr="003123D3">
        <w:rPr>
          <w:rFonts w:cstheme="minorHAnsi"/>
        </w:rPr>
        <w:t>, as further specified below. The owning party(ies) are responsible for compliance with any relevant Government regulations regarding disclosure, election of title, and licensing of intellectual property resulting from Federal sponsorship.</w:t>
      </w:r>
    </w:p>
    <w:p w:rsidR="003123D3" w:rsidRPr="003123D3" w:rsidRDefault="003123D3" w:rsidP="000C0166">
      <w:pPr>
        <w:rPr>
          <w:rFonts w:cstheme="minorHAnsi"/>
        </w:rPr>
      </w:pPr>
      <w:r w:rsidRPr="003123D3">
        <w:rPr>
          <w:rFonts w:cstheme="minorHAnsi"/>
        </w:rPr>
        <w:tab/>
      </w:r>
      <w:r w:rsidRPr="003123D3">
        <w:rPr>
          <w:rFonts w:cstheme="minorHAnsi"/>
          <w:u w:val="single"/>
        </w:rPr>
        <w:t>Administration</w:t>
      </w:r>
      <w:r w:rsidRPr="003123D3">
        <w:rPr>
          <w:rFonts w:cstheme="minorHAnsi"/>
        </w:rPr>
        <w:t xml:space="preserve">. For purposes of this agreement, “intellectual property” shall include (1) potentially patentable inventions that are conceived during the performance of </w:t>
      </w:r>
      <w:r w:rsidR="000C0166">
        <w:rPr>
          <w:rFonts w:cstheme="minorHAnsi"/>
        </w:rPr>
        <w:t>CENTIRE</w:t>
      </w:r>
      <w:r w:rsidRPr="000C0166">
        <w:rPr>
          <w:rFonts w:cstheme="minorHAnsi"/>
        </w:rPr>
        <w:t xml:space="preserve">-sponsored </w:t>
      </w:r>
      <w:r w:rsidRPr="003123D3">
        <w:rPr>
          <w:rFonts w:cstheme="minorHAnsi"/>
        </w:rPr>
        <w:t>research activity, and (2) copyrighted computer software that is specified as a deliverable item in a C</w:t>
      </w:r>
      <w:r w:rsidR="00990B9E">
        <w:rPr>
          <w:rFonts w:cstheme="minorHAnsi"/>
        </w:rPr>
        <w:t>ENTIRE</w:t>
      </w:r>
      <w:r w:rsidRPr="003123D3">
        <w:rPr>
          <w:rFonts w:cstheme="minorHAnsi"/>
        </w:rPr>
        <w:t>-sponsored research activity.</w:t>
      </w:r>
    </w:p>
    <w:p w:rsidR="003123D3" w:rsidRPr="003123D3" w:rsidRDefault="003123D3" w:rsidP="00FB3E25">
      <w:pPr>
        <w:rPr>
          <w:rFonts w:cstheme="minorHAnsi"/>
        </w:rPr>
      </w:pPr>
      <w:r w:rsidRPr="003123D3">
        <w:rPr>
          <w:rFonts w:cstheme="minorHAnsi"/>
        </w:rPr>
        <w:tab/>
        <w:t xml:space="preserve">(1)  </w:t>
      </w:r>
      <w:r w:rsidRPr="003123D3">
        <w:rPr>
          <w:rFonts w:cstheme="minorHAnsi"/>
          <w:u w:val="single"/>
        </w:rPr>
        <w:t>Inventions and patents</w:t>
      </w:r>
      <w:r w:rsidRPr="003123D3">
        <w:rPr>
          <w:rFonts w:cstheme="minorHAnsi"/>
        </w:rPr>
        <w:t xml:space="preserve">. All inventors/creators of potentially patentable inventions are required to make prompt disclosure of such intellectual property to the appropriate “administrative unit or agent” of the respective inventors/creators </w:t>
      </w:r>
      <w:r w:rsidR="00FB3E25">
        <w:rPr>
          <w:rFonts w:cstheme="minorHAnsi"/>
        </w:rPr>
        <w:t>INSTITUTION</w:t>
      </w:r>
      <w:r w:rsidRPr="003123D3">
        <w:rPr>
          <w:rFonts w:cstheme="minorHAnsi"/>
        </w:rPr>
        <w:t xml:space="preserve">(s). This office (these offices) will in turn promptly notify each </w:t>
      </w:r>
      <w:r w:rsidR="00FB3E25">
        <w:rPr>
          <w:rFonts w:cstheme="minorHAnsi"/>
        </w:rPr>
        <w:t>INSTITUTION</w:t>
      </w:r>
      <w:r w:rsidRPr="003123D3">
        <w:rPr>
          <w:rFonts w:cstheme="minorHAnsi"/>
        </w:rPr>
        <w:t xml:space="preserve"> of the disclosure, which shall be treated as confidential information until such time as a patent application is filed or a decision is made not to file.</w:t>
      </w:r>
    </w:p>
    <w:p w:rsidR="003123D3" w:rsidRPr="003123D3" w:rsidRDefault="003123D3" w:rsidP="00FB3E25">
      <w:pPr>
        <w:rPr>
          <w:rFonts w:cstheme="minorHAnsi"/>
        </w:rPr>
      </w:pPr>
      <w:r w:rsidRPr="003123D3">
        <w:rPr>
          <w:rFonts w:cstheme="minorHAnsi"/>
        </w:rPr>
        <w:tab/>
        <w:t xml:space="preserve">The </w:t>
      </w:r>
      <w:r w:rsidR="00FB3E25">
        <w:rPr>
          <w:rFonts w:cstheme="minorHAnsi"/>
        </w:rPr>
        <w:t>INSTITUTION</w:t>
      </w:r>
      <w:r w:rsidRPr="003123D3">
        <w:rPr>
          <w:rFonts w:cstheme="minorHAnsi"/>
        </w:rPr>
        <w:t xml:space="preserve">(s) shall decide in which countries to seek patent protection, and shall file for such protection, prosecution and maintenance in accordance with the </w:t>
      </w:r>
      <w:r w:rsidR="00FB3E25">
        <w:t>INSTITUTION</w:t>
      </w:r>
      <w:r w:rsidRPr="003123D3">
        <w:rPr>
          <w:rFonts w:cstheme="minorHAnsi"/>
        </w:rPr>
        <w:t xml:space="preserve">(s) policy. Each </w:t>
      </w:r>
      <w:r w:rsidR="00FB3E25">
        <w:lastRenderedPageBreak/>
        <w:t>INSTITUTION</w:t>
      </w:r>
      <w:r w:rsidRPr="003123D3">
        <w:rPr>
          <w:rFonts w:cstheme="minorHAnsi"/>
        </w:rPr>
        <w:t xml:space="preserve">  shall have a royalty-free, non-exclusive, worldwide license, for their own academic, research or internal business purposes</w:t>
      </w:r>
    </w:p>
    <w:p w:rsidR="003123D3" w:rsidRPr="003123D3" w:rsidRDefault="003123D3" w:rsidP="00FB3E25">
      <w:pPr>
        <w:rPr>
          <w:rFonts w:cstheme="minorHAnsi"/>
        </w:rPr>
      </w:pPr>
      <w:r w:rsidRPr="003123D3">
        <w:rPr>
          <w:rFonts w:cstheme="minorHAnsi"/>
        </w:rPr>
        <w:tab/>
        <w:t xml:space="preserve">(2) </w:t>
      </w:r>
      <w:r w:rsidRPr="003123D3">
        <w:rPr>
          <w:rFonts w:cstheme="minorHAnsi"/>
          <w:u w:val="single"/>
        </w:rPr>
        <w:t>Copyrighted software</w:t>
      </w:r>
      <w:r w:rsidRPr="003123D3">
        <w:rPr>
          <w:rFonts w:cstheme="minorHAnsi"/>
        </w:rPr>
        <w:t xml:space="preserve">. All </w:t>
      </w:r>
      <w:r w:rsidR="00FB3E25">
        <w:t>INSTITUTIONS</w:t>
      </w:r>
      <w:r w:rsidR="00421D16">
        <w:t xml:space="preserve"> </w:t>
      </w:r>
      <w:r w:rsidRPr="003123D3">
        <w:rPr>
          <w:rFonts w:cstheme="minorHAnsi"/>
        </w:rPr>
        <w:t>shall have a royalty-free, non-exclusive, worldwide license to use any copyrighted software for their own academic, research or internal business purposes.</w:t>
      </w:r>
    </w:p>
    <w:p w:rsidR="003123D3" w:rsidRPr="003123D3" w:rsidRDefault="003123D3" w:rsidP="003123D3">
      <w:pPr>
        <w:rPr>
          <w:rFonts w:cstheme="minorHAnsi"/>
        </w:rPr>
      </w:pPr>
      <w:r w:rsidRPr="003123D3">
        <w:rPr>
          <w:rFonts w:cstheme="minorHAnsi"/>
        </w:rPr>
        <w:tab/>
      </w:r>
      <w:r w:rsidRPr="003123D3">
        <w:rPr>
          <w:rFonts w:cstheme="minorHAnsi"/>
          <w:u w:val="single"/>
        </w:rPr>
        <w:t>Publications</w:t>
      </w:r>
      <w:r w:rsidRPr="003123D3">
        <w:rPr>
          <w:rFonts w:cstheme="minorHAnsi"/>
        </w:rPr>
        <w:t>. The C</w:t>
      </w:r>
      <w:r w:rsidR="00990B9E">
        <w:rPr>
          <w:rFonts w:cstheme="minorHAnsi"/>
        </w:rPr>
        <w:t>ENTIRE</w:t>
      </w:r>
      <w:r w:rsidRPr="003123D3">
        <w:rPr>
          <w:rFonts w:cstheme="minorHAnsi"/>
        </w:rPr>
        <w:t xml:space="preserve"> encourages publications of research results subject only to protection of intellectual property contained in such publications. Publication delays are limited to 90 days.</w:t>
      </w:r>
    </w:p>
    <w:p w:rsidR="003123D3" w:rsidRPr="003123D3" w:rsidRDefault="003123D3" w:rsidP="00FB3E25">
      <w:pPr>
        <w:rPr>
          <w:rFonts w:cstheme="minorHAnsi"/>
        </w:rPr>
      </w:pPr>
      <w:r w:rsidRPr="003123D3">
        <w:rPr>
          <w:rFonts w:cstheme="minorHAnsi"/>
        </w:rPr>
        <w:tab/>
      </w:r>
      <w:r w:rsidRPr="003123D3">
        <w:rPr>
          <w:rFonts w:cstheme="minorHAnsi"/>
          <w:u w:val="single"/>
        </w:rPr>
        <w:t>Revenue Stream</w:t>
      </w:r>
      <w:r w:rsidRPr="003123D3">
        <w:rPr>
          <w:rFonts w:cstheme="minorHAnsi"/>
        </w:rPr>
        <w:t xml:space="preserve">. Should revenue result from intellectual property developed by </w:t>
      </w:r>
      <w:r w:rsidR="00FB3E25">
        <w:t>INSTITUTIONS</w:t>
      </w:r>
      <w:r w:rsidRPr="003123D3">
        <w:rPr>
          <w:rFonts w:cstheme="minorHAnsi"/>
        </w:rPr>
        <w:t xml:space="preserve">, distribution of the revenue shall be in accordance with the policies of the inventing </w:t>
      </w:r>
      <w:r w:rsidR="00FB3E25">
        <w:t>INSTITUTIONS</w:t>
      </w:r>
    </w:p>
    <w:p w:rsidR="003123D3" w:rsidRPr="003123D3" w:rsidRDefault="003123D3" w:rsidP="00FB3E25">
      <w:pPr>
        <w:rPr>
          <w:rFonts w:cstheme="minorHAnsi"/>
        </w:rPr>
      </w:pPr>
      <w:r w:rsidRPr="003123D3">
        <w:rPr>
          <w:rFonts w:cstheme="minorHAnsi"/>
        </w:rPr>
        <w:tab/>
      </w:r>
      <w:r w:rsidRPr="003123D3">
        <w:rPr>
          <w:rFonts w:cstheme="minorHAnsi"/>
          <w:u w:val="single"/>
        </w:rPr>
        <w:t xml:space="preserve">Obligations to Industrial Sponsors. </w:t>
      </w:r>
      <w:r w:rsidR="00FB3E25">
        <w:t>INSTITUTIONS</w:t>
      </w:r>
      <w:r w:rsidRPr="003123D3">
        <w:rPr>
          <w:rFonts w:cstheme="minorHAnsi"/>
        </w:rPr>
        <w:t xml:space="preserve"> appoint Virginia Tech as their agent for the purpose of entering into agreements with C</w:t>
      </w:r>
      <w:r w:rsidR="001C76F8">
        <w:rPr>
          <w:rFonts w:cstheme="minorHAnsi"/>
        </w:rPr>
        <w:t>ENTIRE</w:t>
      </w:r>
      <w:r w:rsidRPr="003123D3">
        <w:rPr>
          <w:rFonts w:cstheme="minorHAnsi"/>
        </w:rPr>
        <w:t xml:space="preserve"> Industrial </w:t>
      </w:r>
      <w:r w:rsidR="00FB3E25">
        <w:rPr>
          <w:rFonts w:cstheme="minorHAnsi"/>
        </w:rPr>
        <w:t xml:space="preserve">Members </w:t>
      </w:r>
      <w:r w:rsidR="00990B9E">
        <w:rPr>
          <w:rFonts w:cstheme="minorHAnsi"/>
        </w:rPr>
        <w:t>(“</w:t>
      </w:r>
      <w:r w:rsidR="00FB3E25">
        <w:rPr>
          <w:rFonts w:cstheme="minorHAnsi"/>
        </w:rPr>
        <w:t>MEMBERS</w:t>
      </w:r>
      <w:r w:rsidR="001C76F8">
        <w:rPr>
          <w:rFonts w:cstheme="minorHAnsi"/>
        </w:rPr>
        <w:t>”)</w:t>
      </w:r>
      <w:r w:rsidRPr="003123D3">
        <w:rPr>
          <w:rFonts w:cstheme="minorHAnsi"/>
        </w:rPr>
        <w:t>in accordance with the terms of the attached C</w:t>
      </w:r>
      <w:r w:rsidR="001C76F8">
        <w:rPr>
          <w:rFonts w:cstheme="minorHAnsi"/>
        </w:rPr>
        <w:t>ENTIRE</w:t>
      </w:r>
      <w:r w:rsidRPr="003123D3">
        <w:rPr>
          <w:rFonts w:cstheme="minorHAnsi"/>
        </w:rPr>
        <w:t xml:space="preserve">-Industry/University Cooperative Research Center Agreement. Members agree to provide research results to </w:t>
      </w:r>
      <w:r w:rsidR="00FB3E25">
        <w:rPr>
          <w:rFonts w:cstheme="minorHAnsi"/>
        </w:rPr>
        <w:t>MEMBERS</w:t>
      </w:r>
      <w:r w:rsidRPr="003123D3">
        <w:rPr>
          <w:rFonts w:cstheme="minorHAnsi"/>
        </w:rPr>
        <w:t xml:space="preserve"> in accordance with Paragraph C, to comply with publication provisions of Paragraph E, and to make inventions and copyrighted works available to </w:t>
      </w:r>
      <w:r w:rsidR="00FB3E25">
        <w:rPr>
          <w:rFonts w:cstheme="minorHAnsi"/>
        </w:rPr>
        <w:t>MEMBERS</w:t>
      </w:r>
      <w:r w:rsidRPr="003123D3">
        <w:rPr>
          <w:rFonts w:cstheme="minorHAnsi"/>
        </w:rPr>
        <w:t xml:space="preserve"> pursuant to Paragraphs F and G.</w:t>
      </w:r>
    </w:p>
    <w:p w:rsidR="007F15FC" w:rsidRDefault="003123D3" w:rsidP="003123D3">
      <w:pPr>
        <w:pStyle w:val="NormalWeb"/>
        <w:rPr>
          <w:rFonts w:asciiTheme="minorHAnsi" w:hAnsiTheme="minorHAnsi" w:cstheme="minorHAnsi"/>
        </w:rPr>
      </w:pPr>
      <w:r w:rsidRPr="003123D3">
        <w:rPr>
          <w:rFonts w:asciiTheme="minorHAnsi" w:hAnsiTheme="minorHAnsi" w:cstheme="minorHAnsi"/>
        </w:rPr>
        <w:tab/>
      </w:r>
      <w:r w:rsidRPr="003123D3">
        <w:rPr>
          <w:rFonts w:asciiTheme="minorHAnsi" w:hAnsiTheme="minorHAnsi" w:cstheme="minorHAnsi"/>
          <w:u w:val="single"/>
        </w:rPr>
        <w:t xml:space="preserve">Execution. </w:t>
      </w:r>
      <w:r w:rsidRPr="003123D3">
        <w:rPr>
          <w:rFonts w:asciiTheme="minorHAnsi" w:hAnsiTheme="minorHAnsi" w:cstheme="minorHAnsi"/>
        </w:rPr>
        <w:t>This Agreement may be executed in two or more counterparts, all of which taken together shall constitute a single, legally binding contract.</w:t>
      </w:r>
    </w:p>
    <w:p w:rsidR="00A92709" w:rsidRDefault="00A92709" w:rsidP="003123D3">
      <w:pPr>
        <w:pStyle w:val="NormalWeb"/>
        <w:rPr>
          <w:rFonts w:asciiTheme="minorHAnsi" w:hAnsiTheme="minorHAnsi" w:cstheme="minorHAnsi"/>
        </w:rPr>
      </w:pPr>
    </w:p>
    <w:p w:rsidR="00A92709" w:rsidRPr="009135D3" w:rsidRDefault="00A92709" w:rsidP="00A92709">
      <w:pPr>
        <w:jc w:val="both"/>
        <w:rPr>
          <w:rFonts w:ascii="Times New Roman" w:hAnsi="Times New Roman"/>
          <w:b/>
          <w:sz w:val="24"/>
          <w:szCs w:val="24"/>
        </w:rPr>
      </w:pPr>
      <w:r>
        <w:rPr>
          <w:rFonts w:ascii="Times New Roman" w:hAnsi="Times New Roman"/>
          <w:b/>
          <w:sz w:val="24"/>
          <w:szCs w:val="24"/>
        </w:rPr>
        <w:t>Virginia Tech</w:t>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The University of Akron</w:t>
      </w:r>
    </w:p>
    <w:p w:rsidR="00A92709" w:rsidRPr="009135D3" w:rsidRDefault="00A92709" w:rsidP="00A92709">
      <w:pPr>
        <w:jc w:val="both"/>
        <w:rPr>
          <w:rFonts w:ascii="Times New Roman" w:hAnsi="Times New Roman"/>
          <w:sz w:val="24"/>
          <w:szCs w:val="24"/>
        </w:rPr>
      </w:pPr>
    </w:p>
    <w:p w:rsidR="00A92709" w:rsidRPr="009135D3" w:rsidRDefault="00A92709" w:rsidP="00A92709">
      <w:pPr>
        <w:spacing w:line="380" w:lineRule="exact"/>
        <w:rPr>
          <w:rFonts w:ascii="Times New Roman" w:hAnsi="Times New Roman"/>
          <w:sz w:val="24"/>
          <w:szCs w:val="24"/>
        </w:rPr>
      </w:pPr>
      <w:r w:rsidRPr="009135D3">
        <w:rPr>
          <w:rFonts w:ascii="Times New Roman" w:hAnsi="Times New Roman"/>
          <w:sz w:val="24"/>
          <w:szCs w:val="24"/>
        </w:rPr>
        <w:t>____________________________</w:t>
      </w:r>
      <w:r>
        <w:rPr>
          <w:rFonts w:ascii="Times New Roman" w:hAnsi="Times New Roman"/>
          <w:sz w:val="24"/>
          <w:szCs w:val="24"/>
        </w:rPr>
        <w:t>_</w:t>
      </w:r>
      <w:r w:rsidRPr="009135D3">
        <w:rPr>
          <w:rFonts w:ascii="Times New Roman" w:hAnsi="Times New Roman"/>
          <w:sz w:val="24"/>
          <w:szCs w:val="24"/>
        </w:rPr>
        <w:tab/>
      </w:r>
      <w:r w:rsidRPr="009135D3">
        <w:rPr>
          <w:rFonts w:ascii="Times New Roman" w:hAnsi="Times New Roman"/>
          <w:sz w:val="24"/>
          <w:szCs w:val="24"/>
        </w:rPr>
        <w:tab/>
      </w:r>
      <w:r>
        <w:rPr>
          <w:rFonts w:ascii="Times New Roman" w:hAnsi="Times New Roman"/>
          <w:sz w:val="24"/>
          <w:szCs w:val="24"/>
        </w:rPr>
        <w:tab/>
      </w:r>
      <w:r w:rsidRPr="009135D3">
        <w:rPr>
          <w:rFonts w:ascii="Times New Roman" w:hAnsi="Times New Roman"/>
          <w:sz w:val="24"/>
          <w:szCs w:val="24"/>
        </w:rPr>
        <w:t>_______________________________</w:t>
      </w:r>
    </w:p>
    <w:p w:rsidR="00A92709" w:rsidRPr="009135D3" w:rsidRDefault="00A92709" w:rsidP="00A92709">
      <w:pPr>
        <w:spacing w:line="380" w:lineRule="exact"/>
        <w:rPr>
          <w:rFonts w:ascii="Times New Roman" w:hAnsi="Times New Roman"/>
          <w:sz w:val="24"/>
          <w:szCs w:val="24"/>
        </w:rPr>
      </w:pPr>
      <w:r w:rsidRPr="009135D3">
        <w:rPr>
          <w:rFonts w:ascii="Times New Roman" w:hAnsi="Times New Roman"/>
          <w:sz w:val="24"/>
          <w:szCs w:val="24"/>
        </w:rPr>
        <w:t xml:space="preserve">  Name:</w:t>
      </w:r>
      <w:r>
        <w:rPr>
          <w:rFonts w:ascii="Times New Roman" w:hAnsi="Times New Roman"/>
          <w:sz w:val="24"/>
          <w:szCs w:val="24"/>
        </w:rPr>
        <w:t xml:space="preserve"> Dr. Robert Walters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135D3">
        <w:rPr>
          <w:rFonts w:ascii="Times New Roman" w:hAnsi="Times New Roman"/>
          <w:sz w:val="24"/>
          <w:szCs w:val="24"/>
        </w:rPr>
        <w:t xml:space="preserve">Name:  </w:t>
      </w:r>
    </w:p>
    <w:p w:rsidR="00A92709" w:rsidRPr="009135D3" w:rsidRDefault="00A92709" w:rsidP="00A92709">
      <w:pPr>
        <w:spacing w:line="380" w:lineRule="exact"/>
        <w:rPr>
          <w:rFonts w:ascii="Times New Roman" w:hAnsi="Times New Roman"/>
          <w:sz w:val="24"/>
          <w:szCs w:val="24"/>
        </w:rPr>
      </w:pPr>
      <w:r>
        <w:rPr>
          <w:rFonts w:ascii="Times New Roman" w:hAnsi="Times New Roman"/>
          <w:sz w:val="24"/>
          <w:szCs w:val="24"/>
        </w:rPr>
        <w:t xml:space="preserve">  Title: </w:t>
      </w:r>
      <w:r w:rsidRPr="00C4503D">
        <w:rPr>
          <w:rFonts w:ascii="Times New Roman" w:hAnsi="Times New Roman"/>
          <w:sz w:val="24"/>
          <w:szCs w:val="24"/>
        </w:rPr>
        <w:t>Vice President for Research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135D3">
        <w:rPr>
          <w:rFonts w:ascii="Times New Roman" w:hAnsi="Times New Roman"/>
          <w:sz w:val="24"/>
          <w:szCs w:val="24"/>
        </w:rPr>
        <w:t xml:space="preserve">Title:   </w:t>
      </w:r>
    </w:p>
    <w:p w:rsidR="00A92709" w:rsidRPr="009135D3" w:rsidRDefault="00A92709" w:rsidP="00A92709">
      <w:pPr>
        <w:spacing w:line="380" w:lineRule="exact"/>
        <w:rPr>
          <w:rFonts w:ascii="Times New Roman" w:hAnsi="Times New Roman"/>
          <w:sz w:val="24"/>
          <w:szCs w:val="24"/>
        </w:rPr>
      </w:pPr>
      <w:r w:rsidRPr="009135D3">
        <w:rPr>
          <w:rFonts w:ascii="Times New Roman" w:hAnsi="Times New Roman"/>
          <w:sz w:val="24"/>
          <w:szCs w:val="24"/>
        </w:rPr>
        <w:t xml:space="preserve">  Date: </w:t>
      </w:r>
      <w:r w:rsidRPr="009135D3">
        <w:rPr>
          <w:rFonts w:ascii="Times New Roman" w:hAnsi="Times New Roman"/>
          <w:sz w:val="24"/>
          <w:szCs w:val="24"/>
        </w:rPr>
        <w:tab/>
      </w:r>
      <w:r w:rsidRPr="009135D3">
        <w:rPr>
          <w:rFonts w:ascii="Times New Roman" w:hAnsi="Times New Roman"/>
          <w:sz w:val="24"/>
          <w:szCs w:val="24"/>
        </w:rPr>
        <w:tab/>
      </w:r>
      <w:r w:rsidRPr="009135D3">
        <w:rPr>
          <w:rFonts w:ascii="Times New Roman" w:hAnsi="Times New Roman"/>
          <w:sz w:val="24"/>
          <w:szCs w:val="24"/>
        </w:rPr>
        <w:tab/>
      </w:r>
      <w:r w:rsidRPr="009135D3">
        <w:rPr>
          <w:rFonts w:ascii="Times New Roman" w:hAnsi="Times New Roman"/>
          <w:sz w:val="24"/>
          <w:szCs w:val="24"/>
        </w:rPr>
        <w:tab/>
      </w:r>
      <w:r w:rsidRPr="009135D3">
        <w:rPr>
          <w:rFonts w:ascii="Times New Roman" w:hAnsi="Times New Roman"/>
          <w:sz w:val="24"/>
          <w:szCs w:val="24"/>
        </w:rPr>
        <w:tab/>
      </w:r>
      <w:r w:rsidRPr="009135D3">
        <w:rPr>
          <w:rFonts w:ascii="Times New Roman" w:hAnsi="Times New Roman"/>
          <w:sz w:val="24"/>
          <w:szCs w:val="24"/>
        </w:rPr>
        <w:tab/>
      </w:r>
      <w:r w:rsidRPr="009135D3">
        <w:rPr>
          <w:rFonts w:ascii="Times New Roman" w:hAnsi="Times New Roman"/>
          <w:sz w:val="24"/>
          <w:szCs w:val="24"/>
        </w:rPr>
        <w:tab/>
        <w:t>Date:</w:t>
      </w:r>
    </w:p>
    <w:p w:rsidR="00A92709" w:rsidRPr="003123D3" w:rsidRDefault="00A92709" w:rsidP="003123D3">
      <w:pPr>
        <w:pStyle w:val="NormalWeb"/>
        <w:rPr>
          <w:rFonts w:asciiTheme="minorHAnsi" w:hAnsiTheme="minorHAnsi" w:cstheme="minorHAnsi"/>
        </w:rPr>
      </w:pPr>
    </w:p>
    <w:sectPr w:rsidR="00A92709" w:rsidRPr="003123D3" w:rsidSect="003B71AA">
      <w:headerReference w:type="default" r:id="rId9"/>
      <w:footerReference w:type="default" r:id="rId10"/>
      <w:pgSz w:w="12240" w:h="15840"/>
      <w:pgMar w:top="1440" w:right="1440" w:bottom="1440" w:left="1440" w:header="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961" w:rsidRDefault="00661961" w:rsidP="00277A76">
      <w:pPr>
        <w:spacing w:after="0" w:line="240" w:lineRule="auto"/>
      </w:pPr>
      <w:r>
        <w:separator/>
      </w:r>
    </w:p>
  </w:endnote>
  <w:endnote w:type="continuationSeparator" w:id="0">
    <w:p w:rsidR="00661961" w:rsidRDefault="00661961" w:rsidP="00277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AA" w:rsidRDefault="004D754C" w:rsidP="00012E20">
    <w:pPr>
      <w:pStyle w:val="Footer"/>
    </w:pPr>
    <w:r>
      <w:t>Center for Tire Research</w:t>
    </w:r>
    <w:r w:rsidR="003B71AA">
      <w:t xml:space="preserve"> </w:t>
    </w:r>
    <w:r w:rsidR="003B71AA">
      <w:rPr>
        <w:color w:val="7F7F7F" w:themeColor="background1" w:themeShade="7F"/>
        <w:spacing w:val="60"/>
      </w:rPr>
      <w:t>Page</w:t>
    </w:r>
    <w:r w:rsidR="003B71AA">
      <w:t xml:space="preserve"> | </w:t>
    </w:r>
    <w:r w:rsidR="00F32FFF">
      <w:fldChar w:fldCharType="begin"/>
    </w:r>
    <w:r w:rsidR="00E1714C">
      <w:instrText xml:space="preserve"> PAGE   \* MERGEFORMAT </w:instrText>
    </w:r>
    <w:r w:rsidR="00F32FFF">
      <w:fldChar w:fldCharType="separate"/>
    </w:r>
    <w:r w:rsidR="00421D16" w:rsidRPr="00421D16">
      <w:rPr>
        <w:b/>
        <w:noProof/>
      </w:rPr>
      <w:t>2</w:t>
    </w:r>
    <w:r w:rsidR="00F32FFF">
      <w:rPr>
        <w:b/>
        <w:noProof/>
      </w:rPr>
      <w:fldChar w:fldCharType="end"/>
    </w:r>
    <w:r w:rsidR="003B71AA">
      <w:tab/>
    </w:r>
    <w:r w:rsidR="003B71AA">
      <w:tab/>
    </w:r>
    <w:r w:rsidR="00012E20">
      <w:t>Membership Agreement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961" w:rsidRDefault="00661961" w:rsidP="00277A76">
      <w:pPr>
        <w:spacing w:after="0" w:line="240" w:lineRule="auto"/>
      </w:pPr>
      <w:r>
        <w:separator/>
      </w:r>
    </w:p>
  </w:footnote>
  <w:footnote w:type="continuationSeparator" w:id="0">
    <w:p w:rsidR="00661961" w:rsidRDefault="00661961" w:rsidP="00277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AA" w:rsidRDefault="003B71AA" w:rsidP="004D754C">
    <w:pPr>
      <w:pStyle w:val="Header"/>
      <w:jc w:val="center"/>
    </w:pPr>
    <w:r>
      <w:rPr>
        <w:noProof/>
      </w:rPr>
      <w:drawing>
        <wp:inline distT="0" distB="0" distL="0" distR="0">
          <wp:extent cx="1724025" cy="352425"/>
          <wp:effectExtent l="19050" t="0" r="9525" b="0"/>
          <wp:docPr id="5" name="Picture 4" descr="VTinvent"/>
          <wp:cNvGraphicFramePr/>
          <a:graphic xmlns:a="http://schemas.openxmlformats.org/drawingml/2006/main">
            <a:graphicData uri="http://schemas.openxmlformats.org/drawingml/2006/picture">
              <pic:pic xmlns:pic="http://schemas.openxmlformats.org/drawingml/2006/picture">
                <pic:nvPicPr>
                  <pic:cNvPr id="2050" name="Picture 17" descr="VTinvent"/>
                  <pic:cNvPicPr>
                    <a:picLocks noChangeAspect="1" noChangeArrowheads="1"/>
                  </pic:cNvPicPr>
                </pic:nvPicPr>
                <pic:blipFill>
                  <a:blip r:embed="rId1" cstate="print"/>
                  <a:srcRect/>
                  <a:stretch>
                    <a:fillRect/>
                  </a:stretch>
                </pic:blipFill>
                <pic:spPr bwMode="auto">
                  <a:xfrm>
                    <a:off x="0" y="0"/>
                    <a:ext cx="1730802" cy="353810"/>
                  </a:xfrm>
                  <a:prstGeom prst="rect">
                    <a:avLst/>
                  </a:prstGeom>
                  <a:noFill/>
                  <a:ln w="9525">
                    <a:noFill/>
                    <a:miter lim="800000"/>
                    <a:headEnd/>
                    <a:tailEnd/>
                  </a:ln>
                </pic:spPr>
              </pic:pic>
            </a:graphicData>
          </a:graphic>
        </wp:inline>
      </w:drawing>
    </w:r>
    <w:r>
      <w:t xml:space="preserve">                     </w:t>
    </w:r>
    <w:r w:rsidR="004D754C" w:rsidRPr="004D754C">
      <w:rPr>
        <w:noProof/>
      </w:rPr>
      <w:drawing>
        <wp:inline distT="0" distB="0" distL="0" distR="0">
          <wp:extent cx="1201419" cy="409575"/>
          <wp:effectExtent l="0" t="0" r="0" b="0"/>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2275" cy="409867"/>
                  </a:xfrm>
                  <a:prstGeom prst="rect">
                    <a:avLst/>
                  </a:prstGeom>
                  <a:noFill/>
                  <a:ln>
                    <a:noFill/>
                  </a:ln>
                  <a:effectLst/>
                  <a:extLst/>
                </pic:spPr>
              </pic:pic>
            </a:graphicData>
          </a:graphic>
        </wp:inline>
      </w:drawing>
    </w:r>
    <w:r>
      <w:t xml:space="preserve">                                     </w:t>
    </w:r>
    <w:r>
      <w:rPr>
        <w:noProof/>
      </w:rPr>
      <w:drawing>
        <wp:inline distT="0" distB="0" distL="0" distR="0">
          <wp:extent cx="1095375" cy="447675"/>
          <wp:effectExtent l="19050" t="0" r="9525" b="0"/>
          <wp:docPr id="7" name="Picture 6" descr="lUAogo.gif"/>
          <wp:cNvGraphicFramePr/>
          <a:graphic xmlns:a="http://schemas.openxmlformats.org/drawingml/2006/main">
            <a:graphicData uri="http://schemas.openxmlformats.org/drawingml/2006/picture">
              <pic:pic xmlns:pic="http://schemas.openxmlformats.org/drawingml/2006/picture">
                <pic:nvPicPr>
                  <pic:cNvPr id="9" name="Picture 8" descr="lUAogo.gif"/>
                  <pic:cNvPicPr>
                    <a:picLocks noChangeAspect="1"/>
                  </pic:cNvPicPr>
                </pic:nvPicPr>
                <pic:blipFill>
                  <a:blip r:embed="rId3" cstate="print"/>
                  <a:stretch>
                    <a:fillRect/>
                  </a:stretch>
                </pic:blipFill>
                <pic:spPr>
                  <a:xfrm>
                    <a:off x="0" y="0"/>
                    <a:ext cx="1095375"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2964"/>
    <w:multiLevelType w:val="hybridMultilevel"/>
    <w:tmpl w:val="47F29D36"/>
    <w:lvl w:ilvl="0" w:tplc="E1700A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24177"/>
    <w:multiLevelType w:val="hybridMultilevel"/>
    <w:tmpl w:val="88186F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F0FD6"/>
    <w:multiLevelType w:val="hybridMultilevel"/>
    <w:tmpl w:val="53F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B1F13"/>
    <w:multiLevelType w:val="hybridMultilevel"/>
    <w:tmpl w:val="826612F4"/>
    <w:lvl w:ilvl="0" w:tplc="B82C04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20280"/>
    <w:multiLevelType w:val="hybridMultilevel"/>
    <w:tmpl w:val="2E6A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6E37A1"/>
    <w:multiLevelType w:val="hybridMultilevel"/>
    <w:tmpl w:val="1FF2E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772B8C"/>
    <w:multiLevelType w:val="hybridMultilevel"/>
    <w:tmpl w:val="CAA25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4E2E02"/>
    <w:multiLevelType w:val="hybridMultilevel"/>
    <w:tmpl w:val="722432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B4516E"/>
    <w:multiLevelType w:val="hybridMultilevel"/>
    <w:tmpl w:val="648CCF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EF370B"/>
    <w:multiLevelType w:val="hybridMultilevel"/>
    <w:tmpl w:val="A87E92FE"/>
    <w:lvl w:ilvl="0" w:tplc="9572A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851271"/>
    <w:multiLevelType w:val="hybridMultilevel"/>
    <w:tmpl w:val="793457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9F427A"/>
    <w:multiLevelType w:val="hybridMultilevel"/>
    <w:tmpl w:val="2578CA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A0161"/>
    <w:multiLevelType w:val="hybridMultilevel"/>
    <w:tmpl w:val="10E2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125867"/>
    <w:multiLevelType w:val="hybridMultilevel"/>
    <w:tmpl w:val="57A83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1E0EBD"/>
    <w:multiLevelType w:val="hybridMultilevel"/>
    <w:tmpl w:val="4734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E60351"/>
    <w:multiLevelType w:val="hybridMultilevel"/>
    <w:tmpl w:val="EF58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C84C55"/>
    <w:multiLevelType w:val="hybridMultilevel"/>
    <w:tmpl w:val="2B826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E22474"/>
    <w:multiLevelType w:val="hybridMultilevel"/>
    <w:tmpl w:val="3E9A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F2650C"/>
    <w:multiLevelType w:val="hybridMultilevel"/>
    <w:tmpl w:val="A20AC5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0842F3"/>
    <w:multiLevelType w:val="hybridMultilevel"/>
    <w:tmpl w:val="5AFE397A"/>
    <w:lvl w:ilvl="0" w:tplc="51046C7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CC7441"/>
    <w:multiLevelType w:val="hybridMultilevel"/>
    <w:tmpl w:val="70E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BC08BE"/>
    <w:multiLevelType w:val="hybridMultilevel"/>
    <w:tmpl w:val="0A362A7A"/>
    <w:lvl w:ilvl="0" w:tplc="E9D42DB2">
      <w:start w:val="1"/>
      <w:numFmt w:val="bullet"/>
      <w:lvlText w:val="•"/>
      <w:lvlJc w:val="left"/>
      <w:pPr>
        <w:tabs>
          <w:tab w:val="num" w:pos="720"/>
        </w:tabs>
        <w:ind w:left="720" w:hanging="360"/>
      </w:pPr>
      <w:rPr>
        <w:rFonts w:ascii="Arial" w:hAnsi="Arial" w:hint="default"/>
      </w:rPr>
    </w:lvl>
    <w:lvl w:ilvl="1" w:tplc="9432D914">
      <w:start w:val="1"/>
      <w:numFmt w:val="bullet"/>
      <w:lvlText w:val="•"/>
      <w:lvlJc w:val="left"/>
      <w:pPr>
        <w:tabs>
          <w:tab w:val="num" w:pos="1440"/>
        </w:tabs>
        <w:ind w:left="1440" w:hanging="360"/>
      </w:pPr>
      <w:rPr>
        <w:rFonts w:ascii="Arial" w:hAnsi="Arial" w:hint="default"/>
      </w:rPr>
    </w:lvl>
    <w:lvl w:ilvl="2" w:tplc="4EF22918" w:tentative="1">
      <w:start w:val="1"/>
      <w:numFmt w:val="bullet"/>
      <w:lvlText w:val="•"/>
      <w:lvlJc w:val="left"/>
      <w:pPr>
        <w:tabs>
          <w:tab w:val="num" w:pos="2160"/>
        </w:tabs>
        <w:ind w:left="2160" w:hanging="360"/>
      </w:pPr>
      <w:rPr>
        <w:rFonts w:ascii="Arial" w:hAnsi="Arial" w:hint="default"/>
      </w:rPr>
    </w:lvl>
    <w:lvl w:ilvl="3" w:tplc="DFBA6B42" w:tentative="1">
      <w:start w:val="1"/>
      <w:numFmt w:val="bullet"/>
      <w:lvlText w:val="•"/>
      <w:lvlJc w:val="left"/>
      <w:pPr>
        <w:tabs>
          <w:tab w:val="num" w:pos="2880"/>
        </w:tabs>
        <w:ind w:left="2880" w:hanging="360"/>
      </w:pPr>
      <w:rPr>
        <w:rFonts w:ascii="Arial" w:hAnsi="Arial" w:hint="default"/>
      </w:rPr>
    </w:lvl>
    <w:lvl w:ilvl="4" w:tplc="223A4FD2" w:tentative="1">
      <w:start w:val="1"/>
      <w:numFmt w:val="bullet"/>
      <w:lvlText w:val="•"/>
      <w:lvlJc w:val="left"/>
      <w:pPr>
        <w:tabs>
          <w:tab w:val="num" w:pos="3600"/>
        </w:tabs>
        <w:ind w:left="3600" w:hanging="360"/>
      </w:pPr>
      <w:rPr>
        <w:rFonts w:ascii="Arial" w:hAnsi="Arial" w:hint="default"/>
      </w:rPr>
    </w:lvl>
    <w:lvl w:ilvl="5" w:tplc="AB7E7684" w:tentative="1">
      <w:start w:val="1"/>
      <w:numFmt w:val="bullet"/>
      <w:lvlText w:val="•"/>
      <w:lvlJc w:val="left"/>
      <w:pPr>
        <w:tabs>
          <w:tab w:val="num" w:pos="4320"/>
        </w:tabs>
        <w:ind w:left="4320" w:hanging="360"/>
      </w:pPr>
      <w:rPr>
        <w:rFonts w:ascii="Arial" w:hAnsi="Arial" w:hint="default"/>
      </w:rPr>
    </w:lvl>
    <w:lvl w:ilvl="6" w:tplc="44D06FAE" w:tentative="1">
      <w:start w:val="1"/>
      <w:numFmt w:val="bullet"/>
      <w:lvlText w:val="•"/>
      <w:lvlJc w:val="left"/>
      <w:pPr>
        <w:tabs>
          <w:tab w:val="num" w:pos="5040"/>
        </w:tabs>
        <w:ind w:left="5040" w:hanging="360"/>
      </w:pPr>
      <w:rPr>
        <w:rFonts w:ascii="Arial" w:hAnsi="Arial" w:hint="default"/>
      </w:rPr>
    </w:lvl>
    <w:lvl w:ilvl="7" w:tplc="D34A4712" w:tentative="1">
      <w:start w:val="1"/>
      <w:numFmt w:val="bullet"/>
      <w:lvlText w:val="•"/>
      <w:lvlJc w:val="left"/>
      <w:pPr>
        <w:tabs>
          <w:tab w:val="num" w:pos="5760"/>
        </w:tabs>
        <w:ind w:left="5760" w:hanging="360"/>
      </w:pPr>
      <w:rPr>
        <w:rFonts w:ascii="Arial" w:hAnsi="Arial" w:hint="default"/>
      </w:rPr>
    </w:lvl>
    <w:lvl w:ilvl="8" w:tplc="E6A04E80" w:tentative="1">
      <w:start w:val="1"/>
      <w:numFmt w:val="bullet"/>
      <w:lvlText w:val="•"/>
      <w:lvlJc w:val="left"/>
      <w:pPr>
        <w:tabs>
          <w:tab w:val="num" w:pos="6480"/>
        </w:tabs>
        <w:ind w:left="6480" w:hanging="360"/>
      </w:pPr>
      <w:rPr>
        <w:rFonts w:ascii="Arial" w:hAnsi="Arial" w:hint="default"/>
      </w:rPr>
    </w:lvl>
  </w:abstractNum>
  <w:abstractNum w:abstractNumId="22">
    <w:nsid w:val="62657F5B"/>
    <w:multiLevelType w:val="hybridMultilevel"/>
    <w:tmpl w:val="1F84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0D40D7"/>
    <w:multiLevelType w:val="hybridMultilevel"/>
    <w:tmpl w:val="44665CB6"/>
    <w:lvl w:ilvl="0" w:tplc="352A00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4"/>
  </w:num>
  <w:num w:numId="4">
    <w:abstractNumId w:val="20"/>
  </w:num>
  <w:num w:numId="5">
    <w:abstractNumId w:val="17"/>
  </w:num>
  <w:num w:numId="6">
    <w:abstractNumId w:val="14"/>
  </w:num>
  <w:num w:numId="7">
    <w:abstractNumId w:val="22"/>
  </w:num>
  <w:num w:numId="8">
    <w:abstractNumId w:val="13"/>
  </w:num>
  <w:num w:numId="9">
    <w:abstractNumId w:val="2"/>
  </w:num>
  <w:num w:numId="10">
    <w:abstractNumId w:val="16"/>
  </w:num>
  <w:num w:numId="11">
    <w:abstractNumId w:val="11"/>
  </w:num>
  <w:num w:numId="12">
    <w:abstractNumId w:val="6"/>
  </w:num>
  <w:num w:numId="13">
    <w:abstractNumId w:val="8"/>
  </w:num>
  <w:num w:numId="14">
    <w:abstractNumId w:val="7"/>
  </w:num>
  <w:num w:numId="15">
    <w:abstractNumId w:val="5"/>
  </w:num>
  <w:num w:numId="16">
    <w:abstractNumId w:val="18"/>
  </w:num>
  <w:num w:numId="17">
    <w:abstractNumId w:val="10"/>
  </w:num>
  <w:num w:numId="18">
    <w:abstractNumId w:val="1"/>
  </w:num>
  <w:num w:numId="19">
    <w:abstractNumId w:val="19"/>
  </w:num>
  <w:num w:numId="20">
    <w:abstractNumId w:val="21"/>
  </w:num>
  <w:num w:numId="21">
    <w:abstractNumId w:val="3"/>
  </w:num>
  <w:num w:numId="22">
    <w:abstractNumId w:val="9"/>
  </w:num>
  <w:num w:numId="23">
    <w:abstractNumId w:val="2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59C"/>
    <w:rsid w:val="00012E20"/>
    <w:rsid w:val="00057E62"/>
    <w:rsid w:val="00082FB1"/>
    <w:rsid w:val="00086398"/>
    <w:rsid w:val="000B7124"/>
    <w:rsid w:val="000C0166"/>
    <w:rsid w:val="000E4D1C"/>
    <w:rsid w:val="000F02A1"/>
    <w:rsid w:val="001117AB"/>
    <w:rsid w:val="00147B56"/>
    <w:rsid w:val="00164386"/>
    <w:rsid w:val="001B7AA8"/>
    <w:rsid w:val="001C5585"/>
    <w:rsid w:val="001C76F8"/>
    <w:rsid w:val="001D0166"/>
    <w:rsid w:val="001F2307"/>
    <w:rsid w:val="0020359C"/>
    <w:rsid w:val="00277A76"/>
    <w:rsid w:val="003123D3"/>
    <w:rsid w:val="00327E94"/>
    <w:rsid w:val="003313D9"/>
    <w:rsid w:val="003B71AA"/>
    <w:rsid w:val="00421D16"/>
    <w:rsid w:val="004579F0"/>
    <w:rsid w:val="0046177B"/>
    <w:rsid w:val="004617BE"/>
    <w:rsid w:val="0046234D"/>
    <w:rsid w:val="004715BD"/>
    <w:rsid w:val="004C376F"/>
    <w:rsid w:val="004D754C"/>
    <w:rsid w:val="005852BC"/>
    <w:rsid w:val="005A59D8"/>
    <w:rsid w:val="005B2A39"/>
    <w:rsid w:val="005F0BC3"/>
    <w:rsid w:val="005F305F"/>
    <w:rsid w:val="0062719A"/>
    <w:rsid w:val="006573A1"/>
    <w:rsid w:val="00661961"/>
    <w:rsid w:val="006A2199"/>
    <w:rsid w:val="00725B7B"/>
    <w:rsid w:val="007359B1"/>
    <w:rsid w:val="00736AD4"/>
    <w:rsid w:val="00750DF0"/>
    <w:rsid w:val="007F15FC"/>
    <w:rsid w:val="00827AC8"/>
    <w:rsid w:val="00842DD4"/>
    <w:rsid w:val="008545B4"/>
    <w:rsid w:val="008E1D0C"/>
    <w:rsid w:val="00915094"/>
    <w:rsid w:val="009151FD"/>
    <w:rsid w:val="00957E08"/>
    <w:rsid w:val="00990B9E"/>
    <w:rsid w:val="009A1CFC"/>
    <w:rsid w:val="009B69B5"/>
    <w:rsid w:val="00A0468E"/>
    <w:rsid w:val="00A060B6"/>
    <w:rsid w:val="00A4174F"/>
    <w:rsid w:val="00A43CC3"/>
    <w:rsid w:val="00A71F01"/>
    <w:rsid w:val="00A84420"/>
    <w:rsid w:val="00A9135D"/>
    <w:rsid w:val="00A92709"/>
    <w:rsid w:val="00A93969"/>
    <w:rsid w:val="00AF36F0"/>
    <w:rsid w:val="00B30B7E"/>
    <w:rsid w:val="00B47C42"/>
    <w:rsid w:val="00B54D72"/>
    <w:rsid w:val="00B81EAA"/>
    <w:rsid w:val="00BB4FC2"/>
    <w:rsid w:val="00BC025F"/>
    <w:rsid w:val="00BD5964"/>
    <w:rsid w:val="00BE12A0"/>
    <w:rsid w:val="00BF2D74"/>
    <w:rsid w:val="00C10070"/>
    <w:rsid w:val="00C311FD"/>
    <w:rsid w:val="00C4503D"/>
    <w:rsid w:val="00C53C84"/>
    <w:rsid w:val="00C60D03"/>
    <w:rsid w:val="00C65272"/>
    <w:rsid w:val="00C655CA"/>
    <w:rsid w:val="00CE77A2"/>
    <w:rsid w:val="00D1378A"/>
    <w:rsid w:val="00D64CDC"/>
    <w:rsid w:val="00D74555"/>
    <w:rsid w:val="00DA11C4"/>
    <w:rsid w:val="00DA255D"/>
    <w:rsid w:val="00DB36FC"/>
    <w:rsid w:val="00DC088F"/>
    <w:rsid w:val="00DC094B"/>
    <w:rsid w:val="00DC755A"/>
    <w:rsid w:val="00DE2C45"/>
    <w:rsid w:val="00E1714C"/>
    <w:rsid w:val="00E375C8"/>
    <w:rsid w:val="00E51106"/>
    <w:rsid w:val="00E73749"/>
    <w:rsid w:val="00EA024B"/>
    <w:rsid w:val="00F07471"/>
    <w:rsid w:val="00F11940"/>
    <w:rsid w:val="00F3055F"/>
    <w:rsid w:val="00F32FFF"/>
    <w:rsid w:val="00F525BD"/>
    <w:rsid w:val="00F709AB"/>
    <w:rsid w:val="00F76DB7"/>
    <w:rsid w:val="00F8287A"/>
    <w:rsid w:val="00F85291"/>
    <w:rsid w:val="00FB3E25"/>
    <w:rsid w:val="00FD33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A76"/>
  </w:style>
  <w:style w:type="paragraph" w:styleId="Footer">
    <w:name w:val="footer"/>
    <w:basedOn w:val="Normal"/>
    <w:link w:val="FooterChar"/>
    <w:uiPriority w:val="99"/>
    <w:unhideWhenUsed/>
    <w:rsid w:val="00277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A76"/>
  </w:style>
  <w:style w:type="paragraph" w:styleId="ListParagraph">
    <w:name w:val="List Paragraph"/>
    <w:basedOn w:val="Normal"/>
    <w:uiPriority w:val="34"/>
    <w:qFormat/>
    <w:rsid w:val="005852BC"/>
    <w:pPr>
      <w:ind w:left="720"/>
      <w:contextualSpacing/>
    </w:pPr>
  </w:style>
  <w:style w:type="paragraph" w:styleId="BalloonText">
    <w:name w:val="Balloon Text"/>
    <w:basedOn w:val="Normal"/>
    <w:link w:val="BalloonTextChar"/>
    <w:uiPriority w:val="99"/>
    <w:semiHidden/>
    <w:unhideWhenUsed/>
    <w:rsid w:val="003B7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1AA"/>
    <w:rPr>
      <w:rFonts w:ascii="Tahoma" w:hAnsi="Tahoma" w:cs="Tahoma"/>
      <w:sz w:val="16"/>
      <w:szCs w:val="16"/>
    </w:rPr>
  </w:style>
  <w:style w:type="paragraph" w:styleId="NormalWeb">
    <w:name w:val="Normal (Web)"/>
    <w:basedOn w:val="Normal"/>
    <w:uiPriority w:val="99"/>
    <w:semiHidden/>
    <w:rsid w:val="00BB4FC2"/>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rsid w:val="00BB4FC2"/>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BB4FC2"/>
    <w:rPr>
      <w:rFonts w:ascii="Calibri" w:eastAsia="Times New Roman" w:hAnsi="Calibri" w:cs="Times New Roman"/>
      <w:sz w:val="20"/>
      <w:szCs w:val="20"/>
    </w:rPr>
  </w:style>
  <w:style w:type="character" w:customStyle="1" w:styleId="A5">
    <w:name w:val="A5"/>
    <w:uiPriority w:val="99"/>
    <w:rsid w:val="001F2307"/>
    <w:rPr>
      <w:rFonts w:cs="Myriad Pro"/>
      <w:color w:val="221E1F"/>
      <w:sz w:val="18"/>
      <w:szCs w:val="18"/>
    </w:rPr>
  </w:style>
  <w:style w:type="character" w:styleId="CommentReference">
    <w:name w:val="annotation reference"/>
    <w:basedOn w:val="DefaultParagraphFont"/>
    <w:uiPriority w:val="99"/>
    <w:semiHidden/>
    <w:unhideWhenUsed/>
    <w:rsid w:val="00C4503D"/>
    <w:rPr>
      <w:sz w:val="16"/>
      <w:szCs w:val="16"/>
    </w:rPr>
  </w:style>
  <w:style w:type="paragraph" w:styleId="CommentSubject">
    <w:name w:val="annotation subject"/>
    <w:basedOn w:val="CommentText"/>
    <w:next w:val="CommentText"/>
    <w:link w:val="CommentSubjectChar"/>
    <w:uiPriority w:val="99"/>
    <w:semiHidden/>
    <w:unhideWhenUsed/>
    <w:rsid w:val="00C4503D"/>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4503D"/>
    <w:rPr>
      <w:rFonts w:ascii="Calibri" w:eastAsia="Times New Roman" w:hAnsi="Calibri" w:cs="Times New Roman"/>
      <w:b/>
      <w:bCs/>
      <w:sz w:val="20"/>
      <w:szCs w:val="20"/>
    </w:rPr>
  </w:style>
  <w:style w:type="paragraph" w:styleId="BodyText2">
    <w:name w:val="Body Text 2"/>
    <w:basedOn w:val="Normal"/>
    <w:link w:val="BodyText2Char"/>
    <w:rsid w:val="003123D3"/>
    <w:pPr>
      <w:spacing w:after="0" w:line="240" w:lineRule="auto"/>
      <w:jc w:val="center"/>
    </w:pPr>
    <w:rPr>
      <w:rFonts w:ascii="Times" w:eastAsia="Times" w:hAnsi="Times" w:cs="Times New Roman"/>
      <w:sz w:val="28"/>
      <w:szCs w:val="20"/>
    </w:rPr>
  </w:style>
  <w:style w:type="character" w:customStyle="1" w:styleId="BodyText2Char">
    <w:name w:val="Body Text 2 Char"/>
    <w:basedOn w:val="DefaultParagraphFont"/>
    <w:link w:val="BodyText2"/>
    <w:rsid w:val="003123D3"/>
    <w:rPr>
      <w:rFonts w:ascii="Times" w:eastAsia="Times" w:hAnsi="Times"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A76"/>
  </w:style>
  <w:style w:type="paragraph" w:styleId="Footer">
    <w:name w:val="footer"/>
    <w:basedOn w:val="Normal"/>
    <w:link w:val="FooterChar"/>
    <w:uiPriority w:val="99"/>
    <w:unhideWhenUsed/>
    <w:rsid w:val="00277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A76"/>
  </w:style>
  <w:style w:type="paragraph" w:styleId="ListParagraph">
    <w:name w:val="List Paragraph"/>
    <w:basedOn w:val="Normal"/>
    <w:uiPriority w:val="34"/>
    <w:qFormat/>
    <w:rsid w:val="005852BC"/>
    <w:pPr>
      <w:ind w:left="720"/>
      <w:contextualSpacing/>
    </w:pPr>
  </w:style>
  <w:style w:type="paragraph" w:styleId="BalloonText">
    <w:name w:val="Balloon Text"/>
    <w:basedOn w:val="Normal"/>
    <w:link w:val="BalloonTextChar"/>
    <w:uiPriority w:val="99"/>
    <w:semiHidden/>
    <w:unhideWhenUsed/>
    <w:rsid w:val="003B7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1AA"/>
    <w:rPr>
      <w:rFonts w:ascii="Tahoma" w:hAnsi="Tahoma" w:cs="Tahoma"/>
      <w:sz w:val="16"/>
      <w:szCs w:val="16"/>
    </w:rPr>
  </w:style>
  <w:style w:type="paragraph" w:styleId="NormalWeb">
    <w:name w:val="Normal (Web)"/>
    <w:basedOn w:val="Normal"/>
    <w:uiPriority w:val="99"/>
    <w:semiHidden/>
    <w:rsid w:val="00BB4FC2"/>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rsid w:val="00BB4FC2"/>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BB4FC2"/>
    <w:rPr>
      <w:rFonts w:ascii="Calibri" w:eastAsia="Times New Roman" w:hAnsi="Calibri" w:cs="Times New Roman"/>
      <w:sz w:val="20"/>
      <w:szCs w:val="20"/>
    </w:rPr>
  </w:style>
  <w:style w:type="character" w:customStyle="1" w:styleId="A5">
    <w:name w:val="A5"/>
    <w:uiPriority w:val="99"/>
    <w:rsid w:val="001F2307"/>
    <w:rPr>
      <w:rFonts w:cs="Myriad Pro"/>
      <w:color w:val="221E1F"/>
      <w:sz w:val="18"/>
      <w:szCs w:val="18"/>
    </w:rPr>
  </w:style>
  <w:style w:type="character" w:styleId="CommentReference">
    <w:name w:val="annotation reference"/>
    <w:basedOn w:val="DefaultParagraphFont"/>
    <w:uiPriority w:val="99"/>
    <w:semiHidden/>
    <w:unhideWhenUsed/>
    <w:rsid w:val="00C4503D"/>
    <w:rPr>
      <w:sz w:val="16"/>
      <w:szCs w:val="16"/>
    </w:rPr>
  </w:style>
  <w:style w:type="paragraph" w:styleId="CommentSubject">
    <w:name w:val="annotation subject"/>
    <w:basedOn w:val="CommentText"/>
    <w:next w:val="CommentText"/>
    <w:link w:val="CommentSubjectChar"/>
    <w:uiPriority w:val="99"/>
    <w:semiHidden/>
    <w:unhideWhenUsed/>
    <w:rsid w:val="00C4503D"/>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4503D"/>
    <w:rPr>
      <w:rFonts w:ascii="Calibri" w:eastAsia="Times New Roman" w:hAnsi="Calibri" w:cs="Times New Roman"/>
      <w:b/>
      <w:bCs/>
      <w:sz w:val="20"/>
      <w:szCs w:val="20"/>
    </w:rPr>
  </w:style>
  <w:style w:type="paragraph" w:styleId="BodyText2">
    <w:name w:val="Body Text 2"/>
    <w:basedOn w:val="Normal"/>
    <w:link w:val="BodyText2Char"/>
    <w:rsid w:val="003123D3"/>
    <w:pPr>
      <w:spacing w:after="0" w:line="240" w:lineRule="auto"/>
      <w:jc w:val="center"/>
    </w:pPr>
    <w:rPr>
      <w:rFonts w:ascii="Times" w:eastAsia="Times" w:hAnsi="Times" w:cs="Times New Roman"/>
      <w:sz w:val="28"/>
      <w:szCs w:val="20"/>
    </w:rPr>
  </w:style>
  <w:style w:type="character" w:customStyle="1" w:styleId="BodyText2Char">
    <w:name w:val="Body Text 2 Char"/>
    <w:basedOn w:val="DefaultParagraphFont"/>
    <w:link w:val="BodyText2"/>
    <w:rsid w:val="003123D3"/>
    <w:rPr>
      <w:rFonts w:ascii="Times" w:eastAsia="Times" w:hAnsi="Times"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415693">
      <w:bodyDiv w:val="1"/>
      <w:marLeft w:val="0"/>
      <w:marRight w:val="0"/>
      <w:marTop w:val="0"/>
      <w:marBottom w:val="0"/>
      <w:divBdr>
        <w:top w:val="none" w:sz="0" w:space="0" w:color="auto"/>
        <w:left w:val="none" w:sz="0" w:space="0" w:color="auto"/>
        <w:bottom w:val="none" w:sz="0" w:space="0" w:color="auto"/>
        <w:right w:val="none" w:sz="0" w:space="0" w:color="auto"/>
      </w:divBdr>
    </w:div>
    <w:div w:id="1736077368">
      <w:bodyDiv w:val="1"/>
      <w:marLeft w:val="0"/>
      <w:marRight w:val="0"/>
      <w:marTop w:val="0"/>
      <w:marBottom w:val="0"/>
      <w:divBdr>
        <w:top w:val="none" w:sz="0" w:space="0" w:color="auto"/>
        <w:left w:val="none" w:sz="0" w:space="0" w:color="auto"/>
        <w:bottom w:val="none" w:sz="0" w:space="0" w:color="auto"/>
        <w:right w:val="none" w:sz="0" w:space="0" w:color="auto"/>
      </w:divBdr>
      <w:divsChild>
        <w:div w:id="75447883">
          <w:marLeft w:val="720"/>
          <w:marRight w:val="0"/>
          <w:marTop w:val="0"/>
          <w:marBottom w:val="0"/>
          <w:divBdr>
            <w:top w:val="none" w:sz="0" w:space="0" w:color="auto"/>
            <w:left w:val="none" w:sz="0" w:space="0" w:color="auto"/>
            <w:bottom w:val="none" w:sz="0" w:space="0" w:color="auto"/>
            <w:right w:val="none" w:sz="0" w:space="0" w:color="auto"/>
          </w:divBdr>
        </w:div>
        <w:div w:id="1721317920">
          <w:marLeft w:val="720"/>
          <w:marRight w:val="0"/>
          <w:marTop w:val="0"/>
          <w:marBottom w:val="0"/>
          <w:divBdr>
            <w:top w:val="none" w:sz="0" w:space="0" w:color="auto"/>
            <w:left w:val="none" w:sz="0" w:space="0" w:color="auto"/>
            <w:bottom w:val="none" w:sz="0" w:space="0" w:color="auto"/>
            <w:right w:val="none" w:sz="0" w:space="0" w:color="auto"/>
          </w:divBdr>
        </w:div>
        <w:div w:id="2041277342">
          <w:marLeft w:val="720"/>
          <w:marRight w:val="0"/>
          <w:marTop w:val="0"/>
          <w:marBottom w:val="0"/>
          <w:divBdr>
            <w:top w:val="none" w:sz="0" w:space="0" w:color="auto"/>
            <w:left w:val="none" w:sz="0" w:space="0" w:color="auto"/>
            <w:bottom w:val="none" w:sz="0" w:space="0" w:color="auto"/>
            <w:right w:val="none" w:sz="0" w:space="0" w:color="auto"/>
          </w:divBdr>
        </w:div>
        <w:div w:id="684744970">
          <w:marLeft w:val="720"/>
          <w:marRight w:val="0"/>
          <w:marTop w:val="0"/>
          <w:marBottom w:val="0"/>
          <w:divBdr>
            <w:top w:val="none" w:sz="0" w:space="0" w:color="auto"/>
            <w:left w:val="none" w:sz="0" w:space="0" w:color="auto"/>
            <w:bottom w:val="none" w:sz="0" w:space="0" w:color="auto"/>
            <w:right w:val="none" w:sz="0" w:space="0" w:color="auto"/>
          </w:divBdr>
        </w:div>
      </w:divsChild>
    </w:div>
    <w:div w:id="178403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2BD25-98F2-468F-B121-29936ECA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Saied</dc:creator>
  <cp:lastModifiedBy>Lindsey C. McGowen</cp:lastModifiedBy>
  <cp:revision>2</cp:revision>
  <cp:lastPrinted>2011-10-15T23:34:00Z</cp:lastPrinted>
  <dcterms:created xsi:type="dcterms:W3CDTF">2014-05-16T16:32:00Z</dcterms:created>
  <dcterms:modified xsi:type="dcterms:W3CDTF">2014-05-16T16:32:00Z</dcterms:modified>
</cp:coreProperties>
</file>